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3"/>
        <w:rPr>
          <w:sz w:val="32"/>
          <w:szCs w:val="32"/>
        </w:rPr>
        <w:suppressLineNumbers w:val="0"/>
      </w:pPr>
      <w:r/>
      <w:bookmarkStart w:id="1" w:name="_Toc1"/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I Uvod</w:t>
      </w:r>
      <w:r/>
      <w:bookmarkEnd w:id="1"/>
      <w:r/>
      <w:r>
        <w:rPr>
          <w:sz w:val="32"/>
          <w:szCs w:val="32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Statistička analiza predstavlja osnovni metod proučavanja obrazovnih procesa jer omogućava da se na sistematičan način sagledaju kvantitativni pokazatelji i iz njih izvedu zaključci o kvalitetu i efikasnosti obrazovnog sistema. U kontekstu visokog obrazova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nja, podaci o broju studenata, njihovoj polnoj i starosnoj strukturi, kao i podaci o diplomiranju, od ključne su važnosti za planiranje nastavnih kapaciteta, usmeravanje obrazovnih politika i kreiranje razvojnih strategija.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Sajt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Republičkog zavoda za statistiku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https://www.stat.gov.rs/sr-latn/oblasti/obrazovanje/visoko-obrazovanje/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pruža relevantne i pouzdane informacije koje omogućavaju dublje razumevanje stanja u visokom obrazovanju u Republici Srbiji. Korišćenjem ovih podataka moguće je analizirati trendove upisa i diplomiranja, identifikovati rodne razlike u strukturi studentske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populacije, kao i sagledati efikasnost završavanja studija na različitim univerzitetima.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akademskom nivou, analiza ovakvih podataka omogućava identifikovanje obrazaca koji prevazilaze pojedinačne institucije i daju širu sliku o društvenim kretanjima. Sa jedne strane, rezultati mogu doprineti unapređenju nastavnog procesa i efikasnijem plani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ranju resursa, dok sa druge strane imaju i značajan društveni uticaj jer se kroz obrazovanje oblikuje ljudski kapital – ključni faktor razvoja lokalne i nacionalne zajednice.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13"/>
        <w:rPr>
          <w:sz w:val="32"/>
          <w:szCs w:val="32"/>
        </w:rPr>
        <w:suppressLineNumbers w:val="0"/>
      </w:pPr>
      <w:r/>
      <w:bookmarkStart w:id="2" w:name="_Toc2"/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II Metodološki okvir</w:t>
      </w:r>
      <w:r/>
      <w:bookmarkEnd w:id="2"/>
      <w:r/>
      <w:r>
        <w:rPr>
          <w:sz w:val="32"/>
          <w:szCs w:val="32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Osnovni izvor podataka za ovu analizu jeste platforma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ufuk.rs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koja omogućava pristup statističkim pokazateljima o visokom obrazovanju u Republici Srbiji. Kao studija slučaja uzeti su podaci o Državnom univerzitetu u Novom Pazaru (DUNP) i Univerzitetu u Novom Pazaru, sa fokusom na:</w:t>
      </w:r>
      <w:r/>
    </w:p>
    <w:p>
      <w:pPr>
        <w:pStyle w:val="605"/>
        <w:numPr>
          <w:ilvl w:val="0"/>
          <w:numId w:val="58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upisanih studenata,</w:t>
      </w:r>
      <w:r/>
    </w:p>
    <w:p>
      <w:pPr>
        <w:pStyle w:val="605"/>
        <w:numPr>
          <w:ilvl w:val="0"/>
          <w:numId w:val="58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polnu strukturu upisanih,</w:t>
      </w:r>
      <w:r/>
    </w:p>
    <w:p>
      <w:pPr>
        <w:pStyle w:val="605"/>
        <w:numPr>
          <w:ilvl w:val="0"/>
          <w:numId w:val="58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broj diplomiranih studenata,</w:t>
      </w:r>
      <w:r/>
    </w:p>
    <w:p>
      <w:pPr>
        <w:pStyle w:val="605"/>
        <w:numPr>
          <w:ilvl w:val="0"/>
          <w:numId w:val="58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polnu strukturu diplomiranih.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Podaci su analizirani u trenutku dostupnosti, a njihova pouzdanost oslonjena je na metodologiju izveštavanja same platforme i zvanične evidencije univerziteta.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je sprovedena u tri međusobno povezana koraka:</w:t>
      </w:r>
      <w:r/>
    </w:p>
    <w:p>
      <w:pPr>
        <w:pStyle w:val="605"/>
        <w:numPr>
          <w:ilvl w:val="0"/>
          <w:numId w:val="59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Deskriptivna statistika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korišćena za prikaz osnovnih podataka o broju i strukturi studenata, kao i za izračunavanje relativnih pokazatelja (procenata, stopa diplomiranja).</w:t>
      </w:r>
      <w:r/>
    </w:p>
    <w:p>
      <w:pPr>
        <w:pStyle w:val="605"/>
        <w:numPr>
          <w:ilvl w:val="0"/>
          <w:numId w:val="59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Komparativna analiza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poređenje dva univerziteta omogućilo je uočavanje sličnosti i razlika u obrazovnim trendovima, posebno u pogledu rodne strukture i efikasnosti završavanja studija.</w:t>
      </w:r>
      <w:r/>
    </w:p>
    <w:p>
      <w:pPr>
        <w:pStyle w:val="605"/>
        <w:numPr>
          <w:ilvl w:val="0"/>
          <w:numId w:val="59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Interpretativna analiza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fokus nije stavljen samo na „šta pokazuju brojke“, već i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koje društvene, ekonomske i demografske procese one impliciraju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Poseban naglasak dat je na izazove zapošljavanja, migracije i formiranja porodica.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36"/>
          <w:szCs w:val="36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</w:p>
    <w:p>
      <w:p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Za potrebe ove analize izdvojeno je nekoliko ključnih indikatora:</w:t>
      </w:r>
      <w:r/>
    </w:p>
    <w:p>
      <w:pPr>
        <w:pStyle w:val="605"/>
        <w:numPr>
          <w:ilvl w:val="0"/>
          <w:numId w:val="60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Udeo žena i muškaraca u studentskoj populaciji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(izražen u procentima),</w:t>
      </w:r>
      <w:r/>
    </w:p>
    <w:p>
      <w:pPr>
        <w:pStyle w:val="605"/>
        <w:numPr>
          <w:ilvl w:val="0"/>
          <w:numId w:val="60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Stopa diplomiranja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(odnos broja diplomiranih prema broju upisanih studenata),</w:t>
      </w:r>
      <w:r/>
    </w:p>
    <w:p>
      <w:pPr>
        <w:pStyle w:val="605"/>
        <w:numPr>
          <w:ilvl w:val="0"/>
          <w:numId w:val="60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Rodna razlika u stopama diplomiranja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(indikator efikasnosti obrazovnog procesa po polu),</w:t>
      </w:r>
      <w:r/>
    </w:p>
    <w:p>
      <w:pPr>
        <w:pStyle w:val="605"/>
        <w:numPr>
          <w:ilvl w:val="0"/>
          <w:numId w:val="60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Poređenje između univerziteta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(državni vs. privatni) u apsolutnim i relativnim vrednostima.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Ovi pokazatelji omogućavaju ne samo uvid u trenutnu strukturu, već i identifikovanje potencijalnih trendova koji mogu oblikovati budući razvoj obrazovnog sistema i društva u celini.</w:t>
      </w:r>
      <w:r/>
      <w:r>
        <w:rPr>
          <w:rFonts w:ascii="Times New Roman" w:hAnsi="Times New Roman" w:eastAsia="Times New Roman" w:cs="Times New Roman"/>
          <w:b/>
          <w:color w:val="000000"/>
          <w:sz w:val="36"/>
        </w:rPr>
      </w:r>
      <w:r/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Važno je naglasiti da analiza ima određena metodološka ograničenja:</w:t>
      </w:r>
      <w:r/>
    </w:p>
    <w:p>
      <w:pPr>
        <w:pStyle w:val="605"/>
        <w:numPr>
          <w:ilvl w:val="0"/>
          <w:numId w:val="61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Podaci se odnose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trenutni vremenski preskok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i ne obuhvataju dinamiku u dužem vremenskom periodu.</w:t>
      </w:r>
      <w:r/>
    </w:p>
    <w:p>
      <w:pPr>
        <w:pStyle w:val="605"/>
        <w:numPr>
          <w:ilvl w:val="0"/>
          <w:numId w:val="61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Struktura studenata može varirati po studijskim programima i departmanima, što u ovoj fazi nije detaljno razloženo.</w:t>
      </w:r>
      <w:r/>
    </w:p>
    <w:p>
      <w:pPr>
        <w:pStyle w:val="605"/>
        <w:numPr>
          <w:ilvl w:val="0"/>
          <w:numId w:val="61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se oslanja na dostupne brojke, dok dublje kvalitativne aspekte (motivacija studenata, društveni i kulturološki faktori) zahtevaju dodatna istraživanja (ankete, intervjui).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Metodološki okvir omogućava da se analiza ne zadrži samo na brojevima, već da se poveže sa širim društvenim procesima. Na taj način, podaci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ufuk.rs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mogu poslužiti kao temelj za:</w:t>
      </w:r>
      <w:r/>
    </w:p>
    <w:p>
      <w:pPr>
        <w:pStyle w:val="605"/>
        <w:numPr>
          <w:ilvl w:val="0"/>
          <w:numId w:val="62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kreiranje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obrazovnih politika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</w:t>
      </w:r>
      <w:r/>
    </w:p>
    <w:p>
      <w:pPr>
        <w:pStyle w:val="605"/>
        <w:numPr>
          <w:ilvl w:val="0"/>
          <w:numId w:val="62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unapređenje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zapošljavanja i tržišta rada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</w:t>
      </w:r>
      <w:r/>
    </w:p>
    <w:p>
      <w:pPr>
        <w:pStyle w:val="605"/>
        <w:numPr>
          <w:ilvl w:val="0"/>
          <w:numId w:val="62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planiranje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populacionih i migracionih strategija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</w:t>
      </w:r>
      <w:r/>
    </w:p>
    <w:p>
      <w:pPr>
        <w:pStyle w:val="605"/>
        <w:numPr>
          <w:ilvl w:val="0"/>
          <w:numId w:val="62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informisanje javnosti i oblikovanje svesti o značaju rodne ravnoteže u obrazovanju.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Posebna vrednost ovog metodološkog pristupa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jeste u tome što brojke posmatra ne izolovano, već u interakciji sa budućim društvenim izazovima – čime rezultati analize prevazilaze akademski okvir i postaju relevantni i za donosioce odluka, ali i za širu javnost.</w:t>
      </w:r>
      <w:r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13"/>
        <w:rPr>
          <w:sz w:val="32"/>
          <w:szCs w:val="32"/>
        </w:rPr>
        <w:suppressLineNumbers w:val="0"/>
      </w:pPr>
      <w:r/>
      <w:bookmarkStart w:id="3" w:name="_Toc3"/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III Polna struktura studenata</w:t>
      </w:r>
      <w:r/>
      <w:bookmarkEnd w:id="3"/>
      <w:r/>
      <w:r>
        <w:rPr>
          <w:sz w:val="32"/>
          <w:szCs w:val="32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podataka o polnoj strukturi studenata na Državnom univerzitetu u Novom Pazaru (DUNP) i na Univerzitetu u Novom Pazaru pokazuje izrazitu dominaciju studentkinja u ukupnoj populaciji. Na DUNP-u žene čine čak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68,2% svih upisanih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muškarci učestvuju sa svega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31,8%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Sličan obrazac uočen je i na Univerzitetu u Novom Pazaru, gde studentkinje čine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70,8%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a studenti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29,2%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Ovi podaci ukazuju na jasnu tendenciju da visoko obrazovanje u regionu sve više postaje žensko dominantna oblast.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36"/>
          <w:szCs w:val="36"/>
        </w:rPr>
        <w:suppressLineNumbers w:val="0"/>
      </w:pPr>
      <w:r>
        <w:rPr>
          <w:rFonts w:ascii="Times New Roman" w:hAnsi="Times New Roman" w:eastAsia="Times New Roman" w:cs="Times New Roman"/>
          <w:sz w:val="36"/>
          <w:szCs w:val="36"/>
        </w:rPr>
      </w:r>
      <w:r>
        <w:rPr>
          <w:rFonts w:ascii="Times New Roman" w:hAnsi="Times New Roman" w:eastAsia="Times New Roman" w:cs="Times New Roman"/>
          <w:sz w:val="36"/>
          <w:szCs w:val="36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36"/>
          <w:szCs w:val="36"/>
        </w:rPr>
        <w:suppressLineNumbers w:val="0"/>
      </w:pPr>
      <w:r>
        <w:rPr>
          <w:rFonts w:ascii="Times New Roman" w:hAnsi="Times New Roman" w:eastAsia="Times New Roman" w:cs="Times New Roman"/>
          <w:sz w:val="36"/>
          <w:szCs w:val="36"/>
        </w:rPr>
      </w:r>
      <w:r>
        <w:rPr>
          <w:rFonts w:ascii="Times New Roman" w:hAnsi="Times New Roman" w:eastAsia="Times New Roman" w:cs="Times New Roman"/>
          <w:sz w:val="36"/>
          <w:szCs w:val="36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36"/>
          <w:szCs w:val="36"/>
        </w:rPr>
        <w:suppressLineNumbers w:val="0"/>
      </w:pPr>
      <w:r>
        <w:rPr>
          <w:rFonts w:ascii="Times New Roman" w:hAnsi="Times New Roman" w:eastAsia="Times New Roman" w:cs="Times New Roman"/>
          <w:sz w:val="36"/>
          <w:szCs w:val="36"/>
        </w:rPr>
      </w:r>
      <w:r>
        <w:rPr>
          <w:rFonts w:ascii="Times New Roman" w:hAnsi="Times New Roman" w:eastAsia="Times New Roman" w:cs="Times New Roman"/>
          <w:sz w:val="36"/>
          <w:szCs w:val="36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36"/>
          <w:szCs w:val="36"/>
        </w:rPr>
        <w:suppressLineNumbers w:val="0"/>
      </w:pPr>
      <w:r>
        <w:rPr>
          <w:rFonts w:ascii="Times New Roman" w:hAnsi="Times New Roman" w:eastAsia="Times New Roman" w:cs="Times New Roman"/>
          <w:sz w:val="36"/>
          <w:szCs w:val="36"/>
        </w:rPr>
      </w:r>
      <w:r>
        <w:rPr>
          <w:rFonts w:ascii="Times New Roman" w:hAnsi="Times New Roman" w:eastAsia="Times New Roman" w:cs="Times New Roman"/>
          <w:sz w:val="36"/>
          <w:szCs w:val="36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36"/>
          <w:szCs w:val="36"/>
        </w:rPr>
        <w:suppressLineNumbers w:val="0"/>
      </w:pPr>
      <w:r>
        <w:rPr>
          <w:rFonts w:ascii="Times New Roman" w:hAnsi="Times New Roman" w:eastAsia="Times New Roman" w:cs="Times New Roman"/>
          <w:sz w:val="36"/>
          <w:szCs w:val="36"/>
        </w:rPr>
      </w:r>
      <w:r>
        <w:rPr>
          <w:rFonts w:ascii="Times New Roman" w:hAnsi="Times New Roman" w:eastAsia="Times New Roman" w:cs="Times New Roman"/>
          <w:sz w:val="36"/>
          <w:szCs w:val="36"/>
        </w:rPr>
      </w:r>
    </w:p>
    <w:p>
      <w:pPr>
        <w:contextualSpacing w:val="0"/>
        <w:jc w:val="center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36"/>
          <w:szCs w:val="36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54965" cy="3207882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786018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flipH="0" flipV="0">
                          <a:off x="0" y="0"/>
                          <a:ext cx="5254965" cy="3207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13.8pt;height:252.6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/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36"/>
          <w:szCs w:val="36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36"/>
          <w:highlight w:val="none"/>
        </w:rPr>
      </w:r>
    </w:p>
    <w:p>
      <w:p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Zapošljavanje i tržište rada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Ako se ovaj trend nastavi, u narednim godinama na tržište rada ulaziće znatno veći broj visokoobrazovanih žena u odnosu na muškarce. To može imati pozitivne efekte u smislu većeg učešća žena u ekonomiji i unapređenja rodne ravnopravnosti, ali otvara i neko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liko pitanja:</w:t>
      </w:r>
      <w:r/>
    </w:p>
    <w:p>
      <w:pPr>
        <w:pStyle w:val="605"/>
        <w:numPr>
          <w:ilvl w:val="0"/>
          <w:numId w:val="63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Da li će lokalno tržište rada biti u stanju da obezbedi dovoljan broj radnih mesta za visokoobrazovane žene?</w:t>
      </w:r>
      <w:r/>
    </w:p>
    <w:p>
      <w:pPr>
        <w:pStyle w:val="605"/>
        <w:numPr>
          <w:ilvl w:val="0"/>
          <w:numId w:val="63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Hoće li doći do povećane konkurencije među ženama, posebno u oblastima u kojima su one dominantno zastupljene (prosveta, društvene i humanističke nauke)?</w:t>
      </w:r>
      <w:r/>
    </w:p>
    <w:p>
      <w:pPr>
        <w:pStyle w:val="605"/>
        <w:numPr>
          <w:ilvl w:val="0"/>
          <w:numId w:val="63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Može li se očekivati nedostatak stručnjaka muškog pola u pojedinim profesijama koje zahtevaju veću polnu ravnotežu (npr. tehničke discipline, IT sektor, inženjering)?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Sociološki izazovi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Ovako izražena neravnoteža može dugoročno proizvesti sociološke posledice:</w:t>
      </w:r>
      <w:r/>
    </w:p>
    <w:p>
      <w:pPr>
        <w:pStyle w:val="605"/>
        <w:numPr>
          <w:ilvl w:val="0"/>
          <w:numId w:val="64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Povećana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feminizacija akademske zajednice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može oblikovati kulturu učenja i rada u pravcu vrednosti koje češće zastupaju žene.</w:t>
      </w:r>
      <w:r/>
    </w:p>
    <w:p>
      <w:pPr>
        <w:pStyle w:val="605"/>
        <w:numPr>
          <w:ilvl w:val="0"/>
          <w:numId w:val="64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Potencijalno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slabije uključivanje muškaraca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 formalno visoko obrazovanje može dovesti do njihovog većeg oslanjanja na alternativne puteve (stručne obuke, preduzetništvo, emigracija).</w:t>
      </w:r>
      <w:r/>
    </w:p>
    <w:p>
      <w:pPr>
        <w:pStyle w:val="605"/>
        <w:numPr>
          <w:ilvl w:val="0"/>
          <w:numId w:val="64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Neravnoteža u obrazovanju može reflektovati šire društvene obrasce – na primer, tradicionalne obrasce po kojima muškarci ranije ulaze u tržište rada bez višeg obrazovanja, dok žene češće ostaju u sistemu školovanja.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Kulturološki izazovi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 sredinama sa izraženim tradicionalnim vrednostima, povećano obrazovanje žena može dovesti do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promene rodnih uloga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S jedne strane, to je značajan pomak ka modernizaciji društva i jačanju položaja žena, ali s druge strane može stvoriti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kulturne tenzije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ukoliko se tržište rada i društvene institucije ne prilagode brzo.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Porast broja visokoobrazovanih žena može dovesti do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promene dinamike u porodici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više žena će biti ekonomski aktivno i finansijski nezavisno.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Tradicionalna očekivanja od žena mogu ući u konflikt sa njihovim profesionalnim ambicijama, što otvara prostor za društvene debate o ravnoteži između privatnog i profesionalnog života.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 Održivost sistema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Ukoliko se nastavi izrazita dominacija žena u visokom obrazovanju, obrazovni sistem moraće da pronađe način da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privuče i zadrži veći broj muškaraca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Neravnoteža može dugoročno biti neodrživa jer stvara disproporciju između polova u ključnim profesijama i vodi ka neoptimalnom korišćenju ljudskog kapitala. Strategije održivosti mogle bi uključivati:</w:t>
      </w:r>
      <w:r/>
    </w:p>
    <w:p>
      <w:pPr>
        <w:pStyle w:val="605"/>
        <w:numPr>
          <w:ilvl w:val="0"/>
          <w:numId w:val="65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Promociju tehničkih i prirodno-matematičkih studija među muškarcima,</w:t>
      </w:r>
      <w:r/>
    </w:p>
    <w:p>
      <w:pPr>
        <w:pStyle w:val="605"/>
        <w:numPr>
          <w:ilvl w:val="0"/>
          <w:numId w:val="65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Jače stipendijske programe i mere podrške za studente muškog pola,</w:t>
      </w:r>
      <w:r/>
    </w:p>
    <w:p>
      <w:pPr>
        <w:pStyle w:val="605"/>
        <w:numPr>
          <w:ilvl w:val="0"/>
          <w:numId w:val="65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Razvoj fleksibilnih programa obrazovanja koji prate potrebe tržišta rada.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Polna struktura studenata na oba univerziteta jasno pokazuje dominaciju žena. Ako se ovakav trend nastavi, u budućnosti će doći do značajnih promena u zapošljavanju, društvenim odnosima i kulturi rada. To otvara prostor i za pozitivne promene (veća rodna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ravnopravnost, modernizacija društva), ali i za nove izazove koje je potrebno pravovremeno adresirati.</w:t>
      </w:r>
      <w:r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13"/>
        <w:rPr>
          <w:sz w:val="28"/>
          <w:szCs w:val="28"/>
        </w:rPr>
        <w:suppressLineNumbers w:val="0"/>
      </w:pPr>
      <w:r/>
      <w:bookmarkStart w:id="4" w:name="_Toc4"/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IV Polna struktura diplomiranih studenata</w:t>
      </w:r>
      <w:r/>
      <w:bookmarkEnd w:id="4"/>
      <w:r/>
      <w:r>
        <w:rPr>
          <w:sz w:val="28"/>
          <w:szCs w:val="28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Podaci o diplomiranim studentima na oba univerziteta pokazuju još izraženiju rodnu neravnotežu nego kod ukupnog broja upisanih. Na Državnom univerzitetu u Novom Pazaru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321 diplomiranog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čak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236 su žene (73,5%)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dok muškarci čine svega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26,5%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Na Univerzitetu u Novom Pazaru taj odnos je još drastičniji: od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109 diplomiranih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86 su žene (78,9%)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a tek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21,1% muškarci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contextualSpacing w:val="0"/>
        <w:jc w:val="center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888820" cy="2984369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517400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4888819" cy="29843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384.9pt;height:235.0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Ovi podaci jasno ukazuju da muškarci ne samo da čine manjinu u studentskoj populaciji, već imaju i nižu stopu uspešnog završavanja studija. Time se produbljuje razlika u stepenu obrazovanja između polova, što nosi značajne društveno-ekonomske i demografske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posledice.</w:t>
      </w:r>
      <w:r/>
      <w:r>
        <w:rPr>
          <w:rFonts w:ascii="Times New Roman" w:hAnsi="Times New Roman" w:eastAsia="Times New Roman" w:cs="Times New Roman"/>
          <w:sz w:val="36"/>
        </w:rPr>
      </w:r>
      <w:r>
        <w:rPr>
          <w:rFonts w:ascii="Times New Roman" w:hAnsi="Times New Roman" w:eastAsia="Times New Roman" w:cs="Times New Roman"/>
          <w:sz w:val="36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36"/>
          <w:szCs w:val="36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36"/>
        </w:rPr>
      </w:r>
      <w:r/>
    </w:p>
    <w:p>
      <w:p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1. Uticaj na nezaposlenost i strukturu tržišta rada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Niža stopa diplomiranja kod muškaraca može direktno povećati njihovu zastupljenost u kategoriji nezaposlenih ili zaposlenih u niskokvalifikovanim poslovima.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Muškarci bez diplome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češće će se oslanjati na fizičke poslove, privremene angažmane ili odlazak u inostranstvo.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Odsustvo formalnog obrazovanja sužava im mogućnost za konkurentnost u modernim sektorima, posebno u javnom sektoru i profesijama sa stabilnim zaposlenjem.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Ovo može dodatno produbiti rodne razlike u prihodima i sigurnosti zaposlenja.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2. Izbor poslova i migracioni obrasci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Muškarci koji ne završavaju visoko obrazovanje češće biraju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poslove u inostranstvu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(građevinarstvo, zanatstvo, sezonski rad).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Iseljavanje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muške radne snage vodi ka demografskom disbalansu – žene sa diplomama ostaju, dok muškarci često odlaze.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Ovakav obrazac utiče i na strukturu lokalnog tržišta rada: određeni sektori ostaju bez kvalifikovane muške radne snage, dok žene zauzimaju dominantne pozicije u administraciji, obrazovanju i zdravstvu.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3. Formiranje porodice i demografske posledice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Jedna od najvažnijih implikacija neravnoteže u obrazovanju jeste njen uticaj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buduće formiranje porodica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Obrazovne razlike često postaju prepreka u sklapanju brakova: visokoobrazovane žene teže da biraju partnere sličnog obrazovnog nivoa, a manjak obrazovanih muškaraca smanjuje mogućnost takvog izbora.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To može dovesti do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odlaganja sklapanja brakova i smanjenja nataliteta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što je već izražen trend u Srbiji.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Dodatno, ukoliko muškarci masovno odlaze iz zemlje, lokalne zajednice suočavaju se sa dvostrukim izazovom – gubitkom muške radne snage i smanjenjem potencijalne populacije za formiranje porodica.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b/>
          <w:color w:val="000000"/>
          <w:sz w:val="28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4. Pitanja za buduće populacione politike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Ovako izražen disbalans otvara niz pitanja za kreatore politika:</w:t>
      </w:r>
      <w:r/>
    </w:p>
    <w:p>
      <w:pPr>
        <w:pStyle w:val="605"/>
        <w:numPr>
          <w:ilvl w:val="0"/>
          <w:numId w:val="66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Kako motivisati i podržati muškarce da završavaju visoko obrazovanje?</w:t>
      </w:r>
      <w:r/>
    </w:p>
    <w:p>
      <w:pPr>
        <w:pStyle w:val="605"/>
        <w:numPr>
          <w:ilvl w:val="0"/>
          <w:numId w:val="66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koji način uskladiti obrazovne politike sa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strategijama zapošljavanja i migracionom politikom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?</w:t>
      </w:r>
      <w:r/>
    </w:p>
    <w:p>
      <w:pPr>
        <w:pStyle w:val="605"/>
        <w:numPr>
          <w:ilvl w:val="0"/>
          <w:numId w:val="66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Koje mere mogu ublažiti potencijalne posledice na natalitet i stabilnost porodice (npr. stimulisanje ostanka mladih parova, podrška muškarcima u obrazovanju kroz stipendije, podsticaji za povratak iz inostranstva)?</w:t>
      </w:r>
      <w:r/>
    </w:p>
    <w:p>
      <w:pPr>
        <w:contextualSpacing w:val="0"/>
        <w:ind w:left="72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36"/>
          <w:szCs w:val="36"/>
        </w:rPr>
        <w:suppressLineNumbers w:val="0"/>
      </w:pPr>
      <w:r>
        <w:rPr>
          <w:rFonts w:ascii="Times New Roman" w:hAnsi="Times New Roman" w:eastAsia="Times New Roman" w:cs="Times New Roman"/>
          <w:sz w:val="36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3626319"/>
                <wp:effectExtent l="0" t="0" r="0" b="0"/>
                <wp:docPr id="5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4306093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940424" cy="36263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467.8pt;height:285.5pt;mso-wrap-distance-left:0.0pt;mso-wrap-distance-top:0.0pt;mso-wrap-distance-right:0.0pt;mso-wrap-distance-bottom:0.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sz w:val="36"/>
        </w:rPr>
      </w:r>
      <w:r>
        <w:rPr>
          <w:rFonts w:ascii="Times New Roman" w:hAnsi="Times New Roman" w:eastAsia="Times New Roman" w:cs="Times New Roman"/>
          <w:sz w:val="36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36"/>
          <w:szCs w:val="36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36"/>
        </w:rPr>
      </w:r>
      <w:r/>
    </w:p>
    <w:p>
      <w:p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Polna struktura diplomiranih studenata na oba univerziteta ukazuje na duboko ukorenjenu rodnu neravnotežu. Niže stope diplomiranja kod muškaraca ne ostaju izolovan obrazovni problem, već se prelivaju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tržište rada, migracione tokove i demografske trendove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U dugom roku, ovakvi obrasci mogu oslabiti održivost lokalnog društva – s jedne strane zbog gubitka radne snage, a s druge strane zbog uticaja na formiranje porodica i reproduktivni potencijal zajednice.</w:t>
      </w:r>
      <w:r/>
    </w:p>
    <w:p>
      <w:p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Stoga, ovakvi podaci nisu samo pokazatelj trenutnog stanja u obrazovanju, već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signal za buduće društvene izazove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koji zahtevaju ozbiljan i integrisan pristup u obrazovnoj, zapošljavanju i populacionoj politici.</w:t>
      </w:r>
      <w:r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</w:rPr>
      </w:r>
    </w:p>
    <w:p>
      <w:pPr>
        <w:pStyle w:val="13"/>
        <w:rPr>
          <w:sz w:val="32"/>
          <w:szCs w:val="32"/>
        </w:rPr>
        <w:suppressLineNumbers w:val="0"/>
      </w:pPr>
      <w:r/>
      <w:bookmarkStart w:id="5" w:name="_Toc5"/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V Održivost sistema obrazovanja u svetlu rodnih trendova</w:t>
      </w:r>
      <w:r/>
      <w:bookmarkEnd w:id="5"/>
      <w:r/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Dugoročna održivost sistema visokog obrazovanja ne zavisi samo od broja upisanih studenata, već i od strukture onih koji uspešno završavaju studije i ulaze na tržište rada. Podaci o značajnoj dominaciji žena u studentskoj populaciji i nižoj stopi diplomira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nja muškaraca postavljaju pitanje ne samo ravnoteže u obrazovnom sistemu, već i šireg društvenog razvoja.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36"/>
          <w:szCs w:val="36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36"/>
        </w:rPr>
      </w:r>
      <w:r/>
    </w:p>
    <w:p>
      <w:p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Ako se trenutni trendovi nastave, sistem obrazovanja u regionu bi mogao postati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strukturno neuravnotežen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, jer će u visokoobrazovanoj populaciji dominirati žene. To sa sobom nosi nekoliko posledica:</w:t>
      </w:r>
      <w:r/>
    </w:p>
    <w:p>
      <w:pPr>
        <w:pStyle w:val="605"/>
        <w:numPr>
          <w:ilvl w:val="0"/>
          <w:numId w:val="67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Profesionalna feminizacija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određenih sektora (prosveta, administracija, društveno-humanističke nauke), dok se istovremeno smanjuje prisustvo muškaraca.</w:t>
      </w:r>
      <w:r/>
    </w:p>
    <w:p>
      <w:pPr>
        <w:pStyle w:val="605"/>
        <w:numPr>
          <w:ilvl w:val="0"/>
          <w:numId w:val="67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Odsustvo rodne ravnoteže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može voditi do socijalnih tenzija i neravnomerne raspodele poslova po polu.</w:t>
      </w:r>
      <w:r/>
    </w:p>
    <w:p>
      <w:pPr>
        <w:pStyle w:val="605"/>
        <w:numPr>
          <w:ilvl w:val="0"/>
          <w:numId w:val="67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Slabljenje muške participacije u visokom obrazovanju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može negativno uticati na tehnološke i tehničke discipline, gde su muškarci tradicionalno brojniji, ali gde je i potreba za kvalifikovanim kadrom najveća.</w:t>
      </w:r>
      <w:r/>
      <w:r>
        <w:rPr>
          <w:rFonts w:ascii="Times New Roman" w:hAnsi="Times New Roman" w:eastAsia="Times New Roman" w:cs="Times New Roman"/>
          <w:b/>
          <w:color w:val="000000"/>
          <w:sz w:val="36"/>
        </w:rPr>
      </w:r>
      <w:r/>
      <w:r>
        <w:rPr>
          <w:rFonts w:ascii="Times New Roman" w:hAnsi="Times New Roman" w:eastAsia="Times New Roman" w:cs="Times New Roman"/>
          <w:sz w:val="24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Niska stopa diplomiranja kod muškaraca povećava rizik od njihovog zapošljavanja u niskokvalifikovanim poslovima ili njihovog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iseljavanja u inostranstvo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radi potrage za radnim angažmanom. Ovakav scenario dodatno opterećuje lokalne zajednice jer:</w:t>
      </w:r>
      <w:r/>
    </w:p>
    <w:p>
      <w:pPr>
        <w:pStyle w:val="605"/>
        <w:numPr>
          <w:ilvl w:val="0"/>
          <w:numId w:val="68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gube radnu snagu u produktivnoj dobi,</w:t>
      </w:r>
      <w:r/>
    </w:p>
    <w:p>
      <w:pPr>
        <w:pStyle w:val="605"/>
        <w:numPr>
          <w:ilvl w:val="0"/>
          <w:numId w:val="68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žene ostaju dominantno zaposlene u javnom sektoru, dok privreda i preduzetništvo ostaju kadrovski slabije popunjeni,</w:t>
      </w:r>
      <w:r/>
    </w:p>
    <w:p>
      <w:pPr>
        <w:pStyle w:val="605"/>
        <w:numPr>
          <w:ilvl w:val="0"/>
          <w:numId w:val="68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emigracija muškaraca direktno utiče na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demografski balans i natalitet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Održivi obrazovni sistem mora da ima u vidu i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demografske implikacije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obrazovnih trendova. Ukoliko se značajan broj muškaraca ne uključuje u visoko obrazovanje, a istovremeno se žene u sve većem broju obrazuju, može nastati nesklad 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formiranju porodica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Visokoobrazovane žene često odlažu sklapanje braka ili roditeljstvo u potrazi za partnerima sličnog obrazovnog nivoa.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Nedostatak visokoobrazovanih muškaraca može doprineti smanjenju nataliteta i dodatnom starenju populacije.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Kulturološki, društvo se suočava sa promenom tradicionalnih rodnih uloga – žene postaju nosioci znanja i ekonomskih aktivnosti, dok muškarci ostaju van formalnih tokova.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Da bi sistem visokog obrazovanja bio dugoročno održiv, neophodno je razviti strategije koje ublažavaju postojeće neravnoteže. Potencijalne mere uključuju:</w:t>
      </w:r>
      <w:r/>
    </w:p>
    <w:p>
      <w:pPr>
        <w:pStyle w:val="605"/>
        <w:numPr>
          <w:ilvl w:val="0"/>
          <w:numId w:val="69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Podsticanje upisa i završavanja studija među muškarcima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kroz stipendije, mentorski rad i promociju akademskih profesija.</w:t>
      </w:r>
      <w:r/>
    </w:p>
    <w:p>
      <w:pPr>
        <w:pStyle w:val="605"/>
        <w:numPr>
          <w:ilvl w:val="0"/>
          <w:numId w:val="69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Razvoj fleksibilnih i tržišno orijentisanih programa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koji odgovaraju potrebama i muškaraca i žena, posebno u oblastima STEM-a, preduzetništva i digitalnih veština.</w:t>
      </w:r>
      <w:r/>
    </w:p>
    <w:p>
      <w:pPr>
        <w:pStyle w:val="605"/>
        <w:numPr>
          <w:ilvl w:val="0"/>
          <w:numId w:val="69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Usklađivanje obrazovnih i zapošljavanja politika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– veće uključivanje privatnog sektora i lokalnih zajednica u kreiranje studijskih programa.</w:t>
      </w:r>
      <w:r/>
    </w:p>
    <w:p>
      <w:pPr>
        <w:pStyle w:val="605"/>
        <w:numPr>
          <w:ilvl w:val="0"/>
          <w:numId w:val="69"/>
        </w:numPr>
        <w:contextualSpacing w:val="0"/>
        <w:jc w:val="both"/>
        <w:spacing w:before="0" w:after="0" w:line="283" w:lineRule="atLeast"/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Populacione politike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koje povezuju obrazovanje sa podrškom mladim porodicama (olakšice za studente roditelje, balans između karijere i privatnog života).</w:t>
      </w:r>
      <w:r/>
    </w:p>
    <w:p>
      <w:pPr>
        <w:pStyle w:val="605"/>
        <w:numPr>
          <w:ilvl w:val="0"/>
          <w:numId w:val="69"/>
        </w:num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Prevencija migracija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kroz kreiranje lokalnih prilika za rad i podršku povratnicima.</w:t>
      </w:r>
      <w:r>
        <w:rPr>
          <w:rFonts w:ascii="Times New Roman" w:hAnsi="Times New Roman" w:eastAsia="Times New Roman" w:cs="Times New Roman"/>
          <w:sz w:val="24"/>
        </w:rPr>
      </w:r>
    </w:p>
    <w:p>
      <w:pPr>
        <w:contextualSpacing w:val="0"/>
        <w:ind w:lef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ind w:left="0" w:firstLine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</w:rPr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Održivost obrazovnog sistema u Novom Pazaru i regionu ne može se posmatrati izolovano od rodnih trendova. Dominacija žena u visokom obrazovanju jeste značajan civilizacijski iskorak, ali ukoliko se ne adresira manjak muške participacije, dugoročno može dov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esti do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ekonomskih disbalansa, migracionih pritisaka i demografskih izazova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Pravi izazov budućnosti jeste stvoriti obrazovni model koji će podjednako motivisati i podržavati oba pola, čime će se obezbediti stabilan razvoj društva i održivost sistema u celini.</w:t>
      </w:r>
      <w:r>
        <w:rPr>
          <w:rFonts w:ascii="Times New Roman" w:hAnsi="Times New Roman" w:eastAsia="Times New Roman" w:cs="Times New Roman"/>
          <w:sz w:val="24"/>
        </w:rPr>
      </w:r>
      <w:r/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pStyle w:val="13"/>
        <w:rPr>
          <w:sz w:val="32"/>
          <w:szCs w:val="32"/>
        </w:rPr>
        <w:suppressLineNumbers w:val="0"/>
      </w:pPr>
      <w:r/>
      <w:bookmarkStart w:id="6" w:name="_Toc6"/>
      <w:r>
        <w:rPr>
          <w:rFonts w:ascii="Times New Roman" w:hAnsi="Times New Roman" w:eastAsia="Times New Roman" w:cs="Times New Roman"/>
          <w:b/>
          <w:color w:val="000000"/>
          <w:sz w:val="32"/>
          <w:szCs w:val="32"/>
        </w:rPr>
        <w:t xml:space="preserve">VI Zaključna razmatranja</w:t>
      </w:r>
      <w:r/>
      <w:bookmarkEnd w:id="6"/>
      <w:r/>
      <w:r>
        <w:rPr>
          <w:rFonts w:ascii="Times New Roman" w:hAnsi="Times New Roman" w:eastAsia="Times New Roman" w:cs="Times New Roman"/>
          <w:sz w:val="32"/>
          <w:szCs w:val="32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Analiza polne strukture studenata i diplomiranih na Državnom univerzitetu u Novom Pazaru i Univerzitetu u Novom Pazaru pokazuje jasnu i postojanu tendenciju dominacije žena u visokom obrazovanju. Podaci ukazuju da studentkinje ne samo da čine većinu u ukup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noj populaciji studenata, već i da u značajno većem procentu uspešno završavaju studije. Suprotno tome, muškarci ostaju u manjini, a njihova stopa diplomiranja je niža, što dodatno produbljuje obrazovni jaz među polovima.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Ovi rezultati imaju višestruke implikacije. Sa jedne strane, povećano prisustvo žena u visokom obrazovanju predstavlja pozitivan pomak ka društvenoj modernizaciji, unapređenju rodne ravnopravnosti i jačanju uloge žena u javnom i profesionalnom životu. Sa d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ruge strane, smanjena participacija muškaraca u formalnom obrazovanju otvara prostor za niz problema: veću nezaposlenost u muškoj populaciji, oslanjanje na niskokvalifikovane poslove i migraciju u inostranstvo. Dugoročno, ovakav trend može proizvesti demog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rafske i kulturološke posledice, posebno u pogledu formiranja porodica, nataliteta i održivosti lokalnih zajednica.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Sistem visokog obrazovanja se stoga suočava sa dvostrukim izazovom: kako očuvati i dodatno ojačati obrazovne i profesionalne kapacitete žena, a istovremeno stvoriti uslove da se poveća uključivanje i zadržavanje muškaraca u obrazovnom procesu. Održiva obra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zovna politika mora biti integrisana sa politikama zapošljavanja, populacionim merama i strategijama sprečavanja migracija. Samo takav sveobuhvatan pristup može osigurati da se obrazovni potencijal oba pola u potpunosti iskoristi i da visoko obrazovanje os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tane temelj stabilnog društvenog i ekonomskog razvoja.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Na kraju, analiza pokazuje da brojke nisu puka statistika – one su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signal društvenih procesa koji tek dolaze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 U njima se prepoznaju obrasci budućih kretanja u zapošljavanju, porodici i kulturi. Upravo zato je neophodno da rezultati ovakvih analiza budu shvaćeni ne samo kao akademski doprinos, već i kao praktičan alat za planiranje javnih politika i kreiranje str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ategija koje će oblikovati budućnost regiona.</w:t>
      </w:r>
      <w:r/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shd w:val="nil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b/>
          <w:bCs/>
          <w:sz w:val="32"/>
          <w:szCs w:val="3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Sadžaj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dt>
      <w:sdtPr>
        <w15:appearance w15:val="boundingBox"/>
        <w:placeholder>
          <w:docPart w:val="DefaultPlaceholder_TEXT"/>
        </w:placeholder>
        <w:docPartObj>
          <w:docPartGallery w:val="Table of Contents"/>
          <w:docPartUnique w:val="true"/>
        </w:docPartObj>
        <w:rPr>
          <w:rFonts w:ascii="Times New Roman" w:hAnsi="Times New Roman" w:eastAsia="Times New Roman" w:cs="Times New Roman"/>
          <w:sz w:val="24"/>
          <w:szCs w:val="24"/>
          <w:highlight w:val="none"/>
        </w:rPr>
      </w:sdtPr>
      <w:sdtContent>
        <w:p>
          <w:pPr>
            <w:pStyle w:val="181"/>
            <w:tabs>
              <w:tab w:val="right" w:pos="9355" w:leader="dot"/>
            </w:tabs>
            <w:rPr>
              <w:rFonts w:ascii="Times New Roman" w:hAnsi="Times New Roman" w:eastAsia="Times New Roman" w:cs="Times New Roman"/>
            </w:rPr>
            <w:suppressLineNumbers w:val="0"/>
          </w:pPr>
          <w:r>
            <w:rPr>
              <w:rFonts w:ascii="Times New Roman" w:hAnsi="Times New Roman" w:eastAsia="Times New Roman" w:cs="Times New Roman"/>
              <w:sz w:val="24"/>
              <w:szCs w:val="24"/>
              <w:highlight w:val="none"/>
            </w:rPr>
          </w:r>
          <w:r>
            <w:fldChar w:fldCharType="begin"/>
            <w:instrText xml:space="preserve">TOC \o "1-9" \h </w:instrText>
            <w:fldChar w:fldCharType="separate"/>
          </w:r>
          <w:r>
            <w:rPr>
              <w:rFonts w:ascii="Times New Roman" w:hAnsi="Times New Roman" w:eastAsia="Times New Roman" w:cs="Times New Roman"/>
              <w:sz w:val="24"/>
              <w:szCs w:val="24"/>
              <w:highlight w:val="none"/>
            </w:rPr>
          </w:r>
          <w:hyperlink w:tooltip="#_Toc1" w:anchor="_Toc1" w:history="1">
            <w:r>
              <w:rPr>
                <w:rStyle w:val="174"/>
              </w:rPr>
            </w:r>
            <w:r>
              <w:rPr>
                <w:rStyle w:val="174"/>
                <w:rFonts w:ascii="Times New Roman" w:hAnsi="Times New Roman" w:eastAsia="Times New Roman" w:cs="Times New Roman"/>
                <w:b/>
              </w:rPr>
              <w:t xml:space="preserve">I Uvod</w:t>
            </w:r>
            <w:r>
              <w:rPr>
                <w:rStyle w:val="174"/>
              </w:rPr>
            </w:r>
            <w:r>
              <w:tab/>
            </w:r>
            <w:r>
              <w:fldChar w:fldCharType="begin"/>
              <w:instrText xml:space="preserve">PAGEREF _Toc1 \h</w:instrText>
              <w:fldChar w:fldCharType="separate"/>
              <w:t xml:space="preserve">1</w:t>
              <w:fldChar w:fldCharType="end"/>
            </w:r>
          </w:hyperlink>
          <w:r>
            <w:rPr>
              <w:rFonts w:ascii="Times New Roman" w:hAnsi="Times New Roman" w:eastAsia="Times New Roman" w:cs="Times New Roman"/>
            </w:rPr>
          </w:r>
        </w:p>
        <w:p>
          <w:pPr>
            <w:pStyle w:val="181"/>
            <w:tabs>
              <w:tab w:val="right" w:pos="9355" w:leader="dot"/>
            </w:tabs>
            <w:rPr>
              <w:rFonts w:ascii="Times New Roman" w:hAnsi="Times New Roman" w:eastAsia="Times New Roman" w:cs="Times New Roman"/>
            </w:rPr>
            <w:suppressLineNumbers w:val="0"/>
          </w:pPr>
          <w:hyperlink w:tooltip="#_Toc2" w:anchor="_Toc2" w:history="1">
            <w:r>
              <w:rPr>
                <w:rStyle w:val="174"/>
              </w:rPr>
            </w:r>
            <w:r>
              <w:rPr>
                <w:rStyle w:val="174"/>
                <w:rFonts w:ascii="Times New Roman" w:hAnsi="Times New Roman" w:eastAsia="Times New Roman" w:cs="Times New Roman"/>
                <w:b/>
              </w:rPr>
              <w:t xml:space="preserve">II Metodološki okvir</w:t>
            </w:r>
            <w:r>
              <w:rPr>
                <w:rStyle w:val="174"/>
              </w:rPr>
            </w:r>
            <w:r>
              <w:tab/>
            </w:r>
            <w:r>
              <w:fldChar w:fldCharType="begin"/>
              <w:instrText xml:space="preserve">PAGEREF _Toc2 \h</w:instrText>
              <w:fldChar w:fldCharType="separate"/>
              <w:t xml:space="preserve">1</w:t>
              <w:fldChar w:fldCharType="end"/>
            </w:r>
          </w:hyperlink>
          <w:r>
            <w:rPr>
              <w:rFonts w:ascii="Times New Roman" w:hAnsi="Times New Roman" w:eastAsia="Times New Roman" w:cs="Times New Roman"/>
            </w:rPr>
          </w:r>
        </w:p>
        <w:p>
          <w:pPr>
            <w:pStyle w:val="181"/>
            <w:tabs>
              <w:tab w:val="right" w:pos="9355" w:leader="dot"/>
            </w:tabs>
            <w:rPr>
              <w:rFonts w:ascii="Times New Roman" w:hAnsi="Times New Roman" w:eastAsia="Times New Roman" w:cs="Times New Roman"/>
            </w:rPr>
            <w:suppressLineNumbers w:val="0"/>
          </w:pPr>
          <w:hyperlink w:tooltip="#_Toc3" w:anchor="_Toc3" w:history="1">
            <w:r>
              <w:rPr>
                <w:rStyle w:val="174"/>
              </w:rPr>
            </w:r>
            <w:r>
              <w:rPr>
                <w:rStyle w:val="174"/>
                <w:rFonts w:ascii="Times New Roman" w:hAnsi="Times New Roman" w:eastAsia="Times New Roman" w:cs="Times New Roman"/>
                <w:b/>
              </w:rPr>
              <w:t xml:space="preserve">III Polna struktura studenata</w:t>
            </w:r>
            <w:r>
              <w:rPr>
                <w:rStyle w:val="174"/>
              </w:rPr>
            </w:r>
            <w:r>
              <w:tab/>
            </w:r>
            <w:r>
              <w:fldChar w:fldCharType="begin"/>
              <w:instrText xml:space="preserve">PAGEREF _Toc3 \h</w:instrText>
              <w:fldChar w:fldCharType="separate"/>
              <w:t xml:space="preserve">2</w:t>
              <w:fldChar w:fldCharType="end"/>
            </w:r>
          </w:hyperlink>
          <w:r>
            <w:rPr>
              <w:rFonts w:ascii="Times New Roman" w:hAnsi="Times New Roman" w:eastAsia="Times New Roman" w:cs="Times New Roman"/>
            </w:rPr>
          </w:r>
        </w:p>
        <w:p>
          <w:pPr>
            <w:pStyle w:val="181"/>
            <w:tabs>
              <w:tab w:val="right" w:pos="9355" w:leader="dot"/>
            </w:tabs>
            <w:rPr>
              <w:rFonts w:ascii="Times New Roman" w:hAnsi="Times New Roman" w:eastAsia="Times New Roman" w:cs="Times New Roman"/>
            </w:rPr>
            <w:suppressLineNumbers w:val="0"/>
          </w:pPr>
          <w:hyperlink w:tooltip="#_Toc4" w:anchor="_Toc4" w:history="1">
            <w:r>
              <w:rPr>
                <w:rStyle w:val="174"/>
              </w:rPr>
            </w:r>
            <w:r>
              <w:rPr>
                <w:rStyle w:val="174"/>
                <w:rFonts w:ascii="Times New Roman" w:hAnsi="Times New Roman" w:eastAsia="Times New Roman" w:cs="Times New Roman"/>
                <w:b/>
              </w:rPr>
              <w:t xml:space="preserve">IV Polna struktura diplomiranih studenata</w:t>
            </w:r>
            <w:r>
              <w:rPr>
                <w:rStyle w:val="174"/>
              </w:rPr>
            </w:r>
            <w:r>
              <w:tab/>
            </w:r>
            <w:r>
              <w:fldChar w:fldCharType="begin"/>
              <w:instrText xml:space="preserve">PAGEREF _Toc4 \h</w:instrText>
              <w:fldChar w:fldCharType="separate"/>
              <w:t xml:space="preserve">4</w:t>
              <w:fldChar w:fldCharType="end"/>
            </w:r>
          </w:hyperlink>
          <w:r>
            <w:rPr>
              <w:rFonts w:ascii="Times New Roman" w:hAnsi="Times New Roman" w:eastAsia="Times New Roman" w:cs="Times New Roman"/>
            </w:rPr>
          </w:r>
        </w:p>
        <w:p>
          <w:pPr>
            <w:pStyle w:val="181"/>
            <w:tabs>
              <w:tab w:val="right" w:pos="9355" w:leader="dot"/>
            </w:tabs>
            <w:rPr>
              <w:rFonts w:ascii="Times New Roman" w:hAnsi="Times New Roman" w:eastAsia="Times New Roman" w:cs="Times New Roman"/>
            </w:rPr>
            <w:suppressLineNumbers w:val="0"/>
          </w:pPr>
          <w:hyperlink w:tooltip="#_Toc5" w:anchor="_Toc5" w:history="1">
            <w:r>
              <w:rPr>
                <w:rStyle w:val="174"/>
              </w:rPr>
            </w:r>
            <w:r>
              <w:rPr>
                <w:rStyle w:val="174"/>
                <w:rFonts w:ascii="Times New Roman" w:hAnsi="Times New Roman" w:eastAsia="Times New Roman" w:cs="Times New Roman"/>
                <w:b/>
              </w:rPr>
              <w:t xml:space="preserve">V Održivost sistema obrazovanja u svetlu rodnih trendova</w:t>
            </w:r>
            <w:r>
              <w:rPr>
                <w:rStyle w:val="174"/>
                <w:rFonts w:ascii="Times New Roman" w:hAnsi="Times New Roman" w:eastAsia="Times New Roman" w:cs="Times New Roman"/>
              </w:rPr>
            </w:r>
            <w:r>
              <w:tab/>
            </w:r>
            <w:r>
              <w:fldChar w:fldCharType="begin"/>
              <w:instrText xml:space="preserve">PAGEREF _Toc5 \h</w:instrText>
              <w:fldChar w:fldCharType="separate"/>
              <w:t xml:space="preserve">6</w:t>
              <w:fldChar w:fldCharType="end"/>
            </w:r>
          </w:hyperlink>
          <w:r>
            <w:rPr>
              <w:rFonts w:ascii="Times New Roman" w:hAnsi="Times New Roman" w:eastAsia="Times New Roman" w:cs="Times New Roman"/>
            </w:rPr>
          </w:r>
        </w:p>
        <w:p>
          <w:pPr>
            <w:pStyle w:val="181"/>
            <w:tabs>
              <w:tab w:val="right" w:pos="9355" w:leader="dot"/>
            </w:tabs>
            <w:rPr>
              <w:rFonts w:ascii="Times New Roman" w:hAnsi="Times New Roman" w:eastAsia="Times New Roman" w:cs="Times New Roman"/>
            </w:rPr>
            <w:suppressLineNumbers w:val="0"/>
          </w:pPr>
          <w:hyperlink w:tooltip="#_Toc6" w:anchor="_Toc6" w:history="1">
            <w:r>
              <w:rPr>
                <w:rStyle w:val="174"/>
              </w:rPr>
            </w:r>
            <w:r>
              <w:rPr>
                <w:rStyle w:val="174"/>
                <w:rFonts w:ascii="Times New Roman" w:hAnsi="Times New Roman" w:eastAsia="Times New Roman" w:cs="Times New Roman"/>
                <w:b/>
              </w:rPr>
              <w:t xml:space="preserve">VI Zaključna razmatranja</w:t>
            </w:r>
            <w:r>
              <w:rPr>
                <w:rStyle w:val="174"/>
                <w:rFonts w:ascii="Times New Roman" w:hAnsi="Times New Roman" w:eastAsia="Times New Roman" w:cs="Times New Roman"/>
              </w:rPr>
            </w:r>
            <w:r>
              <w:tab/>
            </w:r>
            <w:r>
              <w:fldChar w:fldCharType="begin"/>
              <w:instrText xml:space="preserve">PAGEREF _Toc6 \h</w:instrText>
              <w:fldChar w:fldCharType="separate"/>
              <w:t xml:space="preserve">8</w:t>
              <w:fldChar w:fldCharType="end"/>
            </w:r>
          </w:hyperlink>
          <w:r>
            <w:rPr>
              <w:rFonts w:ascii="Times New Roman" w:hAnsi="Times New Roman" w:eastAsia="Times New Roman" w:cs="Times New Roman"/>
            </w:rPr>
          </w:r>
        </w:p>
        <w:p>
          <w:pPr>
            <w:rPr>
              <w:rFonts w:ascii="Times New Roman" w:hAnsi="Times New Roman" w:eastAsia="Times New Roman" w:cs="Times New Roman"/>
              <w:sz w:val="24"/>
              <w:szCs w:val="24"/>
              <w:highlight w:val="none"/>
            </w:rPr>
          </w:pPr>
          <w:r/>
          <w:r>
            <w:fldChar w:fldCharType="end"/>
          </w:r>
          <w:r/>
          <w:r/>
        </w:p>
      </w:sdtContent>
    </w:sdt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contextualSpacing w:val="0"/>
        <w:jc w:val="both"/>
        <w:spacing w:before="0" w:after="0" w:line="283" w:lineRule="atLeast"/>
        <w:rPr>
          <w:rFonts w:ascii="Times New Roman" w:hAnsi="Times New Roman" w:eastAsia="Times New Roman" w:cs="Times New Roman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</w:p>
    <w:p>
      <w:pPr>
        <w:contextualSpacing w:val="0"/>
        <w:jc w:val="both"/>
        <w:spacing w:before="0" w:after="0" w:line="283" w:lineRule="atLeast"/>
        <w:suppressLineNumbers w:val="0"/>
      </w:pPr>
      <w:r/>
      <w:r/>
    </w:p>
    <w:sectPr>
      <w:headerReference w:type="default" r:id="rId10"/>
      <w:footerReference w:type="default" r:id="rId11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Times New Roman">
    <w:panose1 w:val="020206030504050203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  <w:jc w:val="right"/>
    </w:pPr>
    <w:fldSimple w:instr="PAGE \* MERGEFORMAT">
      <w:r>
        <w:t xml:space="preserve">1</w:t>
      </w:r>
    </w:fldSimple>
    <w:r/>
    <w:r/>
  </w:p>
  <w:p>
    <w:pPr>
      <w:pStyle w:val="44"/>
    </w:pP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48"/>
      <w:tblW w:w="0" w:type="auto"/>
      <w:tblLayout w:type="fixed"/>
      <w:tblLook w:val="04A0" w:firstRow="1" w:lastRow="0" w:firstColumn="1" w:lastColumn="0" w:noHBand="0" w:noVBand="1"/>
    </w:tblPr>
    <w:tblGrid>
      <w:gridCol w:w="3260"/>
      <w:gridCol w:w="5669"/>
    </w:tblGrid>
    <w:tr>
      <w:trPr/>
      <w:tc>
        <w:tcPr>
          <w:tcBorders>
            <w:top w:val="none" w:color="000000" w:sz="4" w:space="0"/>
            <w:left w:val="none" w:color="000000" w:sz="4" w:space="0"/>
            <w:bottom w:val="single" w:color="000000" w:sz="4" w:space="0"/>
            <w:right w:val="single" w:color="000000" w:sz="4" w:space="0"/>
          </w:tcBorders>
          <w:tcW w:w="3260" w:type="dxa"/>
          <w:textDirection w:val="lrTb"/>
          <w:noWrap w:val="false"/>
        </w:tcPr>
        <w:p>
          <w:pPr>
            <w:pStyle w:val="42"/>
            <w:rPr>
              <w:highlight w:val="none"/>
            </w:rPr>
          </w:pPr>
          <w:r>
            <w:rPr>
              <w:highlight w:val="none"/>
            </w:rPr>
          </w:r>
          <w:hyperlink r:id="rId3" w:tooltip="https://ufuk.rs/" w:history="1">
            <w:r>
              <w:rPr>
                <w:rStyle w:val="174"/>
                <w:highlight w:val="none"/>
              </w:rPr>
            </w:r>
            <w:r>
              <w:rPr>
                <w:rStyle w:val="17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59165" cy="176546"/>
                      <wp:effectExtent l="0" t="0" r="0" b="0"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95399246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"/>
                              <a:srcRect l="0" t="37655" r="0" b="39089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759161" cy="1765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59.8pt;height:13.9pt;mso-wrap-distance-left:0.0pt;mso-wrap-distance-top:0.0pt;mso-wrap-distance-right:0.0pt;mso-wrap-distance-bottom:0.0pt;" stroked="false">
                      <v:path textboxrect="0,0,0,0"/>
                      <v:imagedata r:id="rId1" o:title=""/>
                    </v:shape>
                  </w:pict>
                </mc:Fallback>
              </mc:AlternateContent>
              <w:t xml:space="preserve">powered by </w:t>
            </w:r>
            <w:r>
              <w:rPr>
                <w:rStyle w:val="174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44574" cy="186575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51339469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"/>
                              <a:srcRect l="17992" t="28202" r="17670" b="36962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344574" cy="18657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7.1pt;height:14.7pt;mso-wrap-distance-left:0.0pt;mso-wrap-distance-top:0.0pt;mso-wrap-distance-right:0.0pt;mso-wrap-distance-bottom:0.0pt;" stroked="false">
                      <v:path textboxrect="0,0,0,0"/>
                      <v:imagedata r:id="rId2" o:title=""/>
                    </v:shape>
                  </w:pict>
                </mc:Fallback>
              </mc:AlternateContent>
            </w:r>
            <w:r>
              <w:rPr>
                <w:rStyle w:val="174"/>
              </w:rPr>
              <w:t xml:space="preserve"> </w:t>
            </w:r>
            <w:r>
              <w:rPr>
                <w:rStyle w:val="174"/>
                <w:highlight w:val="none"/>
              </w:rPr>
            </w:r>
            <w:r>
              <w:rPr>
                <w:rStyle w:val="174"/>
              </w:rPr>
            </w:r>
          </w:hyperlink>
          <w:r>
            <w:rPr>
              <w:highlight w:val="none"/>
            </w:rPr>
          </w:r>
          <w:r/>
        </w:p>
      </w:tc>
      <w:tc>
        <w:tcPr>
          <w:tcBorders>
            <w:top w:val="none" w:color="000000" w:sz="4" w:space="0"/>
            <w:left w:val="single" w:color="000000" w:sz="4" w:space="0"/>
            <w:bottom w:val="single" w:color="000000" w:sz="4" w:space="0"/>
            <w:right w:val="none" w:color="000000" w:sz="4" w:space="0"/>
          </w:tcBorders>
          <w:tcW w:w="5669" w:type="dxa"/>
          <w:textDirection w:val="lrTb"/>
          <w:noWrap w:val="false"/>
        </w:tcPr>
        <w:p>
          <w:pPr>
            <w:pStyle w:val="44"/>
          </w:pPr>
          <w:r>
            <w:rPr>
              <w:sz w:val="22"/>
              <w:szCs w:val="22"/>
            </w:rPr>
          </w:r>
          <w:r>
            <w:rPr>
              <w:sz w:val="22"/>
              <w:szCs w:val="22"/>
              <w:u w:val="none"/>
            </w:rPr>
            <w:t xml:space="preserve">Polna struktura studenata u Novom Pazaru </w:t>
            <w:br/>
            <w:t xml:space="preserve">(po podacima za 2023/24 godinu)</w:t>
          </w:r>
          <w:r/>
        </w:p>
      </w:tc>
    </w:tr>
  </w:tbl>
  <w:p>
    <w:pPr>
      <w:pStyle w:val="4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4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1"/>
    <w:next w:val="6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1"/>
    <w:next w:val="6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1"/>
    <w:next w:val="6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1"/>
    <w:next w:val="6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1"/>
    <w:next w:val="6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1"/>
    <w:next w:val="6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01"/>
    <w:next w:val="6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01"/>
    <w:next w:val="6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01"/>
    <w:next w:val="6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1"/>
    <w:next w:val="6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No Spacing"/>
    <w:basedOn w:val="601"/>
    <w:uiPriority w:val="1"/>
    <w:qFormat/>
    <w:pPr>
      <w:spacing w:after="0" w:line="240" w:lineRule="auto"/>
    </w:pPr>
  </w:style>
  <w:style w:type="paragraph" w:styleId="605">
    <w:name w:val="List Paragraph"/>
    <w:basedOn w:val="601"/>
    <w:uiPriority w:val="34"/>
    <w:qFormat/>
    <w:pPr>
      <w:contextualSpacing/>
      <w:ind w:left="720"/>
    </w:pPr>
  </w:style>
  <w:style w:type="character" w:styleId="610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5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hyperlink" Target="https://ufuk.rs/" TargetMode="External"/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DefaultPlaceholder_TEXT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r>
            <w:t xml:space="preserve">Your text here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29" w:default="1">
    <w:name w:val="Normal"/>
    <w:qFormat/>
  </w:style>
  <w:style w:type="character" w:styleId="230" w:default="1">
    <w:name w:val="Default Paragraph Font"/>
    <w:uiPriority w:val="1"/>
    <w:semiHidden/>
    <w:unhideWhenUsed/>
  </w:style>
  <w:style w:type="numbering" w:styleId="231" w:default="1">
    <w:name w:val="No List"/>
    <w:uiPriority w:val="99"/>
    <w:semiHidden/>
    <w:unhideWhenUsed/>
  </w:style>
  <w:style w:type="paragraph" w:styleId="232">
    <w:name w:val="Heading 1"/>
    <w:basedOn w:val="229"/>
    <w:next w:val="229"/>
    <w:link w:val="2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233">
    <w:name w:val="Heading 1 Char"/>
    <w:basedOn w:val="230"/>
    <w:link w:val="232"/>
    <w:uiPriority w:val="9"/>
    <w:rPr>
      <w:rFonts w:ascii="Arial" w:hAnsi="Arial" w:eastAsia="Arial" w:cs="Arial"/>
      <w:sz w:val="40"/>
      <w:szCs w:val="40"/>
    </w:rPr>
  </w:style>
  <w:style w:type="paragraph" w:styleId="234">
    <w:name w:val="Heading 2"/>
    <w:basedOn w:val="229"/>
    <w:next w:val="229"/>
    <w:link w:val="2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35">
    <w:name w:val="Heading 2 Char"/>
    <w:basedOn w:val="230"/>
    <w:link w:val="234"/>
    <w:uiPriority w:val="9"/>
    <w:rPr>
      <w:rFonts w:ascii="Arial" w:hAnsi="Arial" w:eastAsia="Arial" w:cs="Arial"/>
      <w:sz w:val="34"/>
    </w:rPr>
  </w:style>
  <w:style w:type="paragraph" w:styleId="236">
    <w:name w:val="Heading 3"/>
    <w:basedOn w:val="229"/>
    <w:next w:val="229"/>
    <w:link w:val="2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237">
    <w:name w:val="Heading 3 Char"/>
    <w:basedOn w:val="230"/>
    <w:link w:val="236"/>
    <w:uiPriority w:val="9"/>
    <w:rPr>
      <w:rFonts w:ascii="Arial" w:hAnsi="Arial" w:eastAsia="Arial" w:cs="Arial"/>
      <w:sz w:val="30"/>
      <w:szCs w:val="30"/>
    </w:rPr>
  </w:style>
  <w:style w:type="paragraph" w:styleId="238">
    <w:name w:val="Heading 4"/>
    <w:basedOn w:val="229"/>
    <w:next w:val="229"/>
    <w:link w:val="2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39">
    <w:name w:val="Heading 4 Char"/>
    <w:basedOn w:val="230"/>
    <w:link w:val="238"/>
    <w:uiPriority w:val="9"/>
    <w:rPr>
      <w:rFonts w:ascii="Arial" w:hAnsi="Arial" w:eastAsia="Arial" w:cs="Arial"/>
      <w:b/>
      <w:bCs/>
      <w:sz w:val="26"/>
      <w:szCs w:val="26"/>
    </w:rPr>
  </w:style>
  <w:style w:type="paragraph" w:styleId="240">
    <w:name w:val="Heading 5"/>
    <w:basedOn w:val="229"/>
    <w:next w:val="229"/>
    <w:link w:val="2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41">
    <w:name w:val="Heading 5 Char"/>
    <w:basedOn w:val="230"/>
    <w:link w:val="240"/>
    <w:uiPriority w:val="9"/>
    <w:rPr>
      <w:rFonts w:ascii="Arial" w:hAnsi="Arial" w:eastAsia="Arial" w:cs="Arial"/>
      <w:b/>
      <w:bCs/>
      <w:sz w:val="24"/>
      <w:szCs w:val="24"/>
    </w:rPr>
  </w:style>
  <w:style w:type="paragraph" w:styleId="242">
    <w:name w:val="Heading 6"/>
    <w:basedOn w:val="229"/>
    <w:next w:val="229"/>
    <w:link w:val="2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3">
    <w:name w:val="Heading 6 Char"/>
    <w:basedOn w:val="230"/>
    <w:link w:val="242"/>
    <w:uiPriority w:val="9"/>
    <w:rPr>
      <w:rFonts w:ascii="Arial" w:hAnsi="Arial" w:eastAsia="Arial" w:cs="Arial"/>
      <w:b/>
      <w:bCs/>
      <w:sz w:val="22"/>
      <w:szCs w:val="22"/>
    </w:rPr>
  </w:style>
  <w:style w:type="paragraph" w:styleId="244">
    <w:name w:val="Heading 7"/>
    <w:basedOn w:val="229"/>
    <w:next w:val="229"/>
    <w:link w:val="2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45">
    <w:name w:val="Heading 7 Char"/>
    <w:basedOn w:val="230"/>
    <w:link w:val="2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46">
    <w:name w:val="Heading 8"/>
    <w:basedOn w:val="229"/>
    <w:next w:val="229"/>
    <w:link w:val="2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47">
    <w:name w:val="Heading 8 Char"/>
    <w:basedOn w:val="230"/>
    <w:link w:val="246"/>
    <w:uiPriority w:val="9"/>
    <w:rPr>
      <w:rFonts w:ascii="Arial" w:hAnsi="Arial" w:eastAsia="Arial" w:cs="Arial"/>
      <w:i/>
      <w:iCs/>
      <w:sz w:val="22"/>
      <w:szCs w:val="22"/>
    </w:rPr>
  </w:style>
  <w:style w:type="paragraph" w:styleId="248">
    <w:name w:val="Heading 9"/>
    <w:basedOn w:val="229"/>
    <w:next w:val="229"/>
    <w:link w:val="2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49">
    <w:name w:val="Heading 9 Char"/>
    <w:basedOn w:val="230"/>
    <w:link w:val="248"/>
    <w:uiPriority w:val="9"/>
    <w:rPr>
      <w:rFonts w:ascii="Arial" w:hAnsi="Arial" w:eastAsia="Arial" w:cs="Arial"/>
      <w:i/>
      <w:iCs/>
      <w:sz w:val="21"/>
      <w:szCs w:val="21"/>
    </w:rPr>
  </w:style>
  <w:style w:type="paragraph" w:styleId="250">
    <w:name w:val="List Paragraph"/>
    <w:basedOn w:val="229"/>
    <w:uiPriority w:val="34"/>
    <w:qFormat/>
    <w:pPr>
      <w:contextualSpacing/>
      <w:ind w:left="720"/>
    </w:pPr>
  </w:style>
  <w:style w:type="table" w:styleId="2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52">
    <w:name w:val="No Spacing"/>
    <w:uiPriority w:val="1"/>
    <w:qFormat/>
    <w:pPr>
      <w:spacing w:before="0" w:after="0" w:line="240" w:lineRule="auto"/>
    </w:pPr>
  </w:style>
  <w:style w:type="paragraph" w:styleId="253">
    <w:name w:val="Title"/>
    <w:basedOn w:val="229"/>
    <w:next w:val="229"/>
    <w:link w:val="2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54">
    <w:name w:val="Title Char"/>
    <w:basedOn w:val="230"/>
    <w:link w:val="253"/>
    <w:uiPriority w:val="10"/>
    <w:rPr>
      <w:sz w:val="48"/>
      <w:szCs w:val="48"/>
    </w:rPr>
  </w:style>
  <w:style w:type="paragraph" w:styleId="255">
    <w:name w:val="Subtitle"/>
    <w:basedOn w:val="229"/>
    <w:next w:val="229"/>
    <w:link w:val="256"/>
    <w:uiPriority w:val="11"/>
    <w:qFormat/>
    <w:pPr>
      <w:spacing w:before="200" w:after="200"/>
    </w:pPr>
    <w:rPr>
      <w:sz w:val="24"/>
      <w:szCs w:val="24"/>
    </w:rPr>
  </w:style>
  <w:style w:type="character" w:styleId="256">
    <w:name w:val="Subtitle Char"/>
    <w:basedOn w:val="230"/>
    <w:link w:val="255"/>
    <w:uiPriority w:val="11"/>
    <w:rPr>
      <w:sz w:val="24"/>
      <w:szCs w:val="24"/>
    </w:rPr>
  </w:style>
  <w:style w:type="paragraph" w:styleId="257">
    <w:name w:val="Quote"/>
    <w:basedOn w:val="229"/>
    <w:next w:val="229"/>
    <w:link w:val="258"/>
    <w:uiPriority w:val="29"/>
    <w:qFormat/>
    <w:pPr>
      <w:ind w:left="720" w:right="720"/>
    </w:pPr>
    <w:rPr>
      <w:i/>
    </w:rPr>
  </w:style>
  <w:style w:type="character" w:styleId="258">
    <w:name w:val="Quote Char"/>
    <w:link w:val="257"/>
    <w:uiPriority w:val="29"/>
    <w:rPr>
      <w:i/>
    </w:rPr>
  </w:style>
  <w:style w:type="paragraph" w:styleId="259">
    <w:name w:val="Intense Quote"/>
    <w:basedOn w:val="229"/>
    <w:next w:val="229"/>
    <w:link w:val="2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60">
    <w:name w:val="Intense Quote Char"/>
    <w:link w:val="259"/>
    <w:uiPriority w:val="30"/>
    <w:rPr>
      <w:i/>
    </w:rPr>
  </w:style>
  <w:style w:type="paragraph" w:styleId="261">
    <w:name w:val="Header"/>
    <w:basedOn w:val="229"/>
    <w:link w:val="2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62">
    <w:name w:val="Header Char"/>
    <w:basedOn w:val="230"/>
    <w:link w:val="261"/>
    <w:uiPriority w:val="99"/>
  </w:style>
  <w:style w:type="paragraph" w:styleId="263">
    <w:name w:val="Footer"/>
    <w:basedOn w:val="229"/>
    <w:link w:val="2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64">
    <w:name w:val="Footer Char"/>
    <w:basedOn w:val="230"/>
    <w:link w:val="263"/>
    <w:uiPriority w:val="99"/>
  </w:style>
  <w:style w:type="paragraph" w:styleId="265">
    <w:name w:val="Caption"/>
    <w:basedOn w:val="229"/>
    <w:next w:val="2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66">
    <w:name w:val="Caption Char"/>
    <w:basedOn w:val="265"/>
    <w:link w:val="263"/>
    <w:uiPriority w:val="99"/>
  </w:style>
  <w:style w:type="table" w:styleId="267">
    <w:name w:val="Table Grid"/>
    <w:basedOn w:val="2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8">
    <w:name w:val="Table Grid Light"/>
    <w:basedOn w:val="2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69">
    <w:name w:val="Plain Table 1"/>
    <w:basedOn w:val="2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70">
    <w:name w:val="Plain Table 2"/>
    <w:basedOn w:val="2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271">
    <w:name w:val="Plain Table 3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72">
    <w:name w:val="Plain Table 4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3">
    <w:name w:val="Plain Table 5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74">
    <w:name w:val="Grid Table 1 Light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5">
    <w:name w:val="Grid Table 1 Light - Accent 1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6">
    <w:name w:val="Grid Table 1 Light - Accent 2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7">
    <w:name w:val="Grid Table 1 Light - Accent 3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8">
    <w:name w:val="Grid Table 1 Light - Accent 4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79">
    <w:name w:val="Grid Table 1 Light - Accent 5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0">
    <w:name w:val="Grid Table 1 Light - Accent 6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81">
    <w:name w:val="Grid Table 2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2">
    <w:name w:val="Grid Table 2 - Accent 1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3">
    <w:name w:val="Grid Table 2 - Accent 2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4">
    <w:name w:val="Grid Table 2 - Accent 3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5">
    <w:name w:val="Grid Table 2 - Accent 4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6">
    <w:name w:val="Grid Table 2 - Accent 5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7">
    <w:name w:val="Grid Table 2 - Accent 6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8">
    <w:name w:val="Grid Table 3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89">
    <w:name w:val="Grid Table 3 - Accent 1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0">
    <w:name w:val="Grid Table 3 - Accent 2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1">
    <w:name w:val="Grid Table 3 - Accent 3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2">
    <w:name w:val="Grid Table 3 - Accent 4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3">
    <w:name w:val="Grid Table 3 - Accent 5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4">
    <w:name w:val="Grid Table 3 - Accent 6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295">
    <w:name w:val="Grid Table 4"/>
    <w:basedOn w:val="2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296">
    <w:name w:val="Grid Table 4 - Accent 1"/>
    <w:basedOn w:val="2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297">
    <w:name w:val="Grid Table 4 - Accent 2"/>
    <w:basedOn w:val="2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298">
    <w:name w:val="Grid Table 4 - Accent 3"/>
    <w:basedOn w:val="2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299">
    <w:name w:val="Grid Table 4 - Accent 4"/>
    <w:basedOn w:val="2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300">
    <w:name w:val="Grid Table 4 - Accent 5"/>
    <w:basedOn w:val="2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01">
    <w:name w:val="Grid Table 4 - Accent 6"/>
    <w:basedOn w:val="2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02">
    <w:name w:val="Grid Table 5 Dark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03">
    <w:name w:val="Grid Table 5 Dark- Accent 1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304">
    <w:name w:val="Grid Table 5 Dark - Accent 2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305">
    <w:name w:val="Grid Table 5 Dark - Accent 3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306">
    <w:name w:val="Grid Table 5 Dark- Accent 4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307">
    <w:name w:val="Grid Table 5 Dark - Accent 5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308">
    <w:name w:val="Grid Table 5 Dark - Accent 6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309">
    <w:name w:val="Grid Table 6 Colorful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310">
    <w:name w:val="Grid Table 6 Colorful - Accent 1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311">
    <w:name w:val="Grid Table 6 Colorful - Accent 2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312">
    <w:name w:val="Grid Table 6 Colorful - Accent 3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313">
    <w:name w:val="Grid Table 6 Colorful - Accent 4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314">
    <w:name w:val="Grid Table 6 Colorful - Accent 5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5">
    <w:name w:val="Grid Table 6 Colorful - Accent 6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316">
    <w:name w:val="Grid Table 7 Colorful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317">
    <w:name w:val="Grid Table 7 Colorful - Accent 1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18">
    <w:name w:val="Grid Table 7 Colorful - Accent 2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19">
    <w:name w:val="Grid Table 7 Colorful - Accent 3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20">
    <w:name w:val="Grid Table 7 Colorful - Accent 4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21">
    <w:name w:val="Grid Table 7 Colorful - Accent 5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22">
    <w:name w:val="Grid Table 7 Colorful - Accent 6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23">
    <w:name w:val="List Table 1 Light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4">
    <w:name w:val="List Table 1 Light - Accent 1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5">
    <w:name w:val="List Table 1 Light - Accent 2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6">
    <w:name w:val="List Table 1 Light - Accent 3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7">
    <w:name w:val="List Table 1 Light - Accent 4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8">
    <w:name w:val="List Table 1 Light - Accent 5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29">
    <w:name w:val="List Table 1 Light - Accent 6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30">
    <w:name w:val="List Table 2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31">
    <w:name w:val="List Table 2 - Accent 1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32">
    <w:name w:val="List Table 2 - Accent 2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33">
    <w:name w:val="List Table 2 - Accent 3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34">
    <w:name w:val="List Table 2 - Accent 4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35">
    <w:name w:val="List Table 2 - Accent 5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36">
    <w:name w:val="List Table 2 - Accent 6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37">
    <w:name w:val="List Table 3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8">
    <w:name w:val="List Table 3 - Accent 1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39">
    <w:name w:val="List Table 3 - Accent 2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0">
    <w:name w:val="List Table 3 - Accent 3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1">
    <w:name w:val="List Table 3 - Accent 4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2">
    <w:name w:val="List Table 3 - Accent 5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3">
    <w:name w:val="List Table 3 - Accent 6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4">
    <w:name w:val="List Table 4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5">
    <w:name w:val="List Table 4 - Accent 1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6">
    <w:name w:val="List Table 4 - Accent 2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7">
    <w:name w:val="List Table 4 - Accent 3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8">
    <w:name w:val="List Table 4 - Accent 4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49">
    <w:name w:val="List Table 4 - Accent 5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0">
    <w:name w:val="List Table 4 - Accent 6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1">
    <w:name w:val="List Table 5 Dark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2">
    <w:name w:val="List Table 5 Dark - Accent 1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3">
    <w:name w:val="List Table 5 Dark - Accent 2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4">
    <w:name w:val="List Table 5 Dark - Accent 3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5">
    <w:name w:val="List Table 5 Dark - Accent 4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6">
    <w:name w:val="List Table 5 Dark - Accent 5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7">
    <w:name w:val="List Table 5 Dark - Accent 6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358">
    <w:name w:val="List Table 6 Colorful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59">
    <w:name w:val="List Table 6 Colorful - Accent 1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60">
    <w:name w:val="List Table 6 Colorful - Accent 2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61">
    <w:name w:val="List Table 6 Colorful - Accent 3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62">
    <w:name w:val="List Table 6 Colorful - Accent 4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63">
    <w:name w:val="List Table 6 Colorful - Accent 5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64">
    <w:name w:val="List Table 6 Colorful - Accent 6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65">
    <w:name w:val="List Table 7 Colorful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366">
    <w:name w:val="List Table 7 Colorful - Accent 1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367">
    <w:name w:val="List Table 7 Colorful - Accent 2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368">
    <w:name w:val="List Table 7 Colorful - Accent 3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369">
    <w:name w:val="List Table 7 Colorful - Accent 4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370">
    <w:name w:val="List Table 7 Colorful - Accent 5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371">
    <w:name w:val="List Table 7 Colorful - Accent 6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372">
    <w:name w:val="Lined - Accent"/>
    <w:basedOn w:val="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73">
    <w:name w:val="Lined - Accent 1"/>
    <w:basedOn w:val="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374">
    <w:name w:val="Lined - Accent 2"/>
    <w:basedOn w:val="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375">
    <w:name w:val="Lined - Accent 3"/>
    <w:basedOn w:val="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376">
    <w:name w:val="Lined - Accent 4"/>
    <w:basedOn w:val="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377">
    <w:name w:val="Lined - Accent 5"/>
    <w:basedOn w:val="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378">
    <w:name w:val="Lined - Accent 6"/>
    <w:basedOn w:val="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379">
    <w:name w:val="Bordered &amp; Lined - Accent"/>
    <w:basedOn w:val="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80">
    <w:name w:val="Bordered &amp; Lined - Accent 1"/>
    <w:basedOn w:val="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381">
    <w:name w:val="Bordered &amp; Lined - Accent 2"/>
    <w:basedOn w:val="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382">
    <w:name w:val="Bordered &amp; Lined - Accent 3"/>
    <w:basedOn w:val="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383">
    <w:name w:val="Bordered &amp; Lined - Accent 4"/>
    <w:basedOn w:val="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384">
    <w:name w:val="Bordered &amp; Lined - Accent 5"/>
    <w:basedOn w:val="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385">
    <w:name w:val="Bordered &amp; Lined - Accent 6"/>
    <w:basedOn w:val="2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386">
    <w:name w:val="Bordered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387">
    <w:name w:val="Bordered - Accent 1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388">
    <w:name w:val="Bordered - Accent 2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389">
    <w:name w:val="Bordered - Accent 3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390">
    <w:name w:val="Bordered - Accent 4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391">
    <w:name w:val="Bordered - Accent 5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392">
    <w:name w:val="Bordered - Accent 6"/>
    <w:basedOn w:val="2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393">
    <w:name w:val="Hyperlink"/>
    <w:uiPriority w:val="99"/>
    <w:unhideWhenUsed/>
    <w:rPr>
      <w:color w:val="0000ff" w:themeColor="hyperlink"/>
      <w:u w:val="single"/>
    </w:rPr>
  </w:style>
  <w:style w:type="paragraph" w:styleId="394">
    <w:name w:val="footnote text"/>
    <w:basedOn w:val="229"/>
    <w:link w:val="395"/>
    <w:uiPriority w:val="99"/>
    <w:semiHidden/>
    <w:unhideWhenUsed/>
    <w:pPr>
      <w:spacing w:after="40" w:line="240" w:lineRule="auto"/>
    </w:pPr>
    <w:rPr>
      <w:sz w:val="18"/>
    </w:rPr>
  </w:style>
  <w:style w:type="character" w:styleId="395">
    <w:name w:val="Footnote Text Char"/>
    <w:link w:val="394"/>
    <w:uiPriority w:val="99"/>
    <w:rPr>
      <w:sz w:val="18"/>
    </w:rPr>
  </w:style>
  <w:style w:type="character" w:styleId="396">
    <w:name w:val="footnote reference"/>
    <w:basedOn w:val="230"/>
    <w:uiPriority w:val="99"/>
    <w:unhideWhenUsed/>
    <w:rPr>
      <w:vertAlign w:val="superscript"/>
    </w:rPr>
  </w:style>
  <w:style w:type="paragraph" w:styleId="397">
    <w:name w:val="endnote text"/>
    <w:basedOn w:val="229"/>
    <w:link w:val="398"/>
    <w:uiPriority w:val="99"/>
    <w:semiHidden/>
    <w:unhideWhenUsed/>
    <w:pPr>
      <w:spacing w:after="0" w:line="240" w:lineRule="auto"/>
    </w:pPr>
    <w:rPr>
      <w:sz w:val="20"/>
    </w:rPr>
  </w:style>
  <w:style w:type="character" w:styleId="398">
    <w:name w:val="Endnote Text Char"/>
    <w:link w:val="397"/>
    <w:uiPriority w:val="99"/>
    <w:rPr>
      <w:sz w:val="20"/>
    </w:rPr>
  </w:style>
  <w:style w:type="character" w:styleId="399">
    <w:name w:val="endnote reference"/>
    <w:basedOn w:val="230"/>
    <w:uiPriority w:val="99"/>
    <w:semiHidden/>
    <w:unhideWhenUsed/>
    <w:rPr>
      <w:vertAlign w:val="superscript"/>
    </w:rPr>
  </w:style>
  <w:style w:type="paragraph" w:styleId="400">
    <w:name w:val="toc 1"/>
    <w:basedOn w:val="229"/>
    <w:next w:val="229"/>
    <w:uiPriority w:val="39"/>
    <w:unhideWhenUsed/>
    <w:pPr>
      <w:ind w:left="0" w:right="0" w:firstLine="0"/>
      <w:spacing w:after="57"/>
    </w:pPr>
  </w:style>
  <w:style w:type="paragraph" w:styleId="401">
    <w:name w:val="toc 2"/>
    <w:basedOn w:val="229"/>
    <w:next w:val="229"/>
    <w:uiPriority w:val="39"/>
    <w:unhideWhenUsed/>
    <w:pPr>
      <w:ind w:left="283" w:right="0" w:firstLine="0"/>
      <w:spacing w:after="57"/>
    </w:pPr>
  </w:style>
  <w:style w:type="paragraph" w:styleId="402">
    <w:name w:val="toc 3"/>
    <w:basedOn w:val="229"/>
    <w:next w:val="229"/>
    <w:uiPriority w:val="39"/>
    <w:unhideWhenUsed/>
    <w:pPr>
      <w:ind w:left="567" w:right="0" w:firstLine="0"/>
      <w:spacing w:after="57"/>
    </w:pPr>
  </w:style>
  <w:style w:type="paragraph" w:styleId="403">
    <w:name w:val="toc 4"/>
    <w:basedOn w:val="229"/>
    <w:next w:val="229"/>
    <w:uiPriority w:val="39"/>
    <w:unhideWhenUsed/>
    <w:pPr>
      <w:ind w:left="850" w:right="0" w:firstLine="0"/>
      <w:spacing w:after="57"/>
    </w:pPr>
  </w:style>
  <w:style w:type="paragraph" w:styleId="404">
    <w:name w:val="toc 5"/>
    <w:basedOn w:val="229"/>
    <w:next w:val="229"/>
    <w:uiPriority w:val="39"/>
    <w:unhideWhenUsed/>
    <w:pPr>
      <w:ind w:left="1134" w:right="0" w:firstLine="0"/>
      <w:spacing w:after="57"/>
    </w:pPr>
  </w:style>
  <w:style w:type="paragraph" w:styleId="405">
    <w:name w:val="toc 6"/>
    <w:basedOn w:val="229"/>
    <w:next w:val="229"/>
    <w:uiPriority w:val="39"/>
    <w:unhideWhenUsed/>
    <w:pPr>
      <w:ind w:left="1417" w:right="0" w:firstLine="0"/>
      <w:spacing w:after="57"/>
    </w:pPr>
  </w:style>
  <w:style w:type="paragraph" w:styleId="406">
    <w:name w:val="toc 7"/>
    <w:basedOn w:val="229"/>
    <w:next w:val="229"/>
    <w:uiPriority w:val="39"/>
    <w:unhideWhenUsed/>
    <w:pPr>
      <w:ind w:left="1701" w:right="0" w:firstLine="0"/>
      <w:spacing w:after="57"/>
    </w:pPr>
  </w:style>
  <w:style w:type="paragraph" w:styleId="407">
    <w:name w:val="toc 8"/>
    <w:basedOn w:val="229"/>
    <w:next w:val="229"/>
    <w:uiPriority w:val="39"/>
    <w:unhideWhenUsed/>
    <w:pPr>
      <w:ind w:left="1984" w:right="0" w:firstLine="0"/>
      <w:spacing w:after="57"/>
    </w:pPr>
  </w:style>
  <w:style w:type="paragraph" w:styleId="408">
    <w:name w:val="toc 9"/>
    <w:basedOn w:val="229"/>
    <w:next w:val="229"/>
    <w:uiPriority w:val="39"/>
    <w:unhideWhenUsed/>
    <w:pPr>
      <w:ind w:left="2268" w:right="0" w:firstLine="0"/>
      <w:spacing w:after="57"/>
    </w:pPr>
  </w:style>
  <w:style w:type="paragraph" w:styleId="409">
    <w:name w:val="TOC Heading"/>
    <w:uiPriority w:val="39"/>
    <w:unhideWhenUsed/>
  </w:style>
  <w:style w:type="paragraph" w:styleId="410">
    <w:name w:val="table of figures"/>
    <w:basedOn w:val="229"/>
    <w:next w:val="229"/>
    <w:uiPriority w:val="99"/>
    <w:unhideWhenUsed/>
    <w:pPr>
      <w:spacing w:after="0" w:afterAutospacing="0"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2025-09-17T13:33:05Z</dcterms:modified>
</cp:coreProperties>
</file>